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一、招标范围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szCs w:val="21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1、</w:t>
      </w:r>
      <w:r>
        <w:rPr>
          <w:sz w:val="24"/>
          <w:szCs w:val="24"/>
          <w:highlight w:val="none"/>
        </w:rPr>
        <w:t>全院</w:t>
      </w:r>
      <w:r>
        <w:rPr>
          <w:rFonts w:hint="eastAsia"/>
          <w:sz w:val="24"/>
          <w:szCs w:val="24"/>
          <w:highlight w:val="none"/>
          <w:lang w:eastAsia="zh-CN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除日立品牌外</w:t>
      </w:r>
      <w:r>
        <w:rPr>
          <w:rFonts w:hint="eastAsia"/>
          <w:sz w:val="24"/>
          <w:szCs w:val="24"/>
          <w:highlight w:val="none"/>
          <w:lang w:eastAsia="zh-CN"/>
        </w:rPr>
        <w:t>）</w:t>
      </w:r>
      <w:r>
        <w:rPr>
          <w:rFonts w:hint="eastAsia"/>
          <w:sz w:val="24"/>
          <w:szCs w:val="24"/>
          <w:highlight w:val="none"/>
          <w:lang w:val="en-US" w:eastAsia="zh-CN"/>
        </w:rPr>
        <w:t>其他系列</w:t>
      </w:r>
      <w:r>
        <w:rPr>
          <w:sz w:val="24"/>
          <w:szCs w:val="24"/>
          <w:highlight w:val="none"/>
        </w:rPr>
        <w:t>共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>8</w:t>
      </w:r>
      <w:r>
        <w:rPr>
          <w:sz w:val="24"/>
          <w:szCs w:val="24"/>
          <w:highlight w:val="none"/>
        </w:rPr>
        <w:t>台电梯的</w:t>
      </w:r>
      <w:r>
        <w:rPr>
          <w:sz w:val="24"/>
          <w:szCs w:val="24"/>
        </w:rPr>
        <w:t>维修保养工作，</w:t>
      </w:r>
      <w:r>
        <w:rPr>
          <w:kern w:val="1"/>
          <w:sz w:val="24"/>
          <w:szCs w:val="24"/>
        </w:rPr>
        <w:t>包工、包安全、包质量、包费用（</w:t>
      </w:r>
      <w:r>
        <w:rPr>
          <w:rFonts w:hint="eastAsia"/>
          <w:sz w:val="24"/>
          <w:szCs w:val="24"/>
        </w:rPr>
        <w:t>维修</w:t>
      </w:r>
      <w:r>
        <w:rPr>
          <w:sz w:val="24"/>
          <w:szCs w:val="24"/>
        </w:rPr>
        <w:t>配件另计）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本项目采用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年度维保固定总价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承包。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rPr>
          <w:b/>
          <w:bCs/>
          <w:kern w:val="0"/>
          <w:sz w:val="28"/>
          <w:szCs w:val="28"/>
          <w:highlight w:val="none"/>
        </w:rPr>
      </w:pPr>
      <w:r>
        <w:rPr>
          <w:b/>
          <w:bCs/>
          <w:kern w:val="0"/>
          <w:sz w:val="28"/>
          <w:szCs w:val="28"/>
          <w:highlight w:val="none"/>
        </w:rPr>
        <w:t>服务设备明细表</w:t>
      </w:r>
    </w:p>
    <w:tbl>
      <w:tblPr>
        <w:tblStyle w:val="14"/>
        <w:tblW w:w="91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737"/>
        <w:gridCol w:w="2150"/>
        <w:gridCol w:w="1163"/>
        <w:gridCol w:w="1062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电梯编号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新设备合同号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电梯类型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层站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载重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总务仓库杂物梯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DX19112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DXTW300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3/3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250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0.4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中药库杂物梯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DX17411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DXTW300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2/2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0.4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门诊医梯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Gen2Comfort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3/3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1600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  <w:r>
              <w:rPr>
                <w:rFonts w:hint="eastAsia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6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残联医梯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36668029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KONEMinspace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6/6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1000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  <w:r>
              <w:rPr>
                <w:rFonts w:hint="eastAsia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制剂室货梯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20100631C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TWJ200/0.4-AS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3/3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0.4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康复中心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350400732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KONEMonoSpace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5/5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1600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  <w:r>
              <w:rPr>
                <w:rFonts w:hint="eastAsia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1号楼7号梯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D2019-100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TBJ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7层/7站/7门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1600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  <w:r>
              <w:rPr>
                <w:rFonts w:hint="eastAsia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  <w:r>
              <w:rPr>
                <w:sz w:val="24"/>
                <w:highlight w:val="none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1号楼8号梯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D2019-101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TBJ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7层/7站/7门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1600</w:t>
            </w:r>
            <w:r>
              <w:rPr>
                <w:rFonts w:hint="eastAsia"/>
                <w:sz w:val="24"/>
                <w:highlight w:val="none"/>
              </w:rPr>
              <w:t>KG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  <w:r>
              <w:rPr>
                <w:rFonts w:hint="eastAsia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</w:t>
            </w:r>
            <w:r>
              <w:rPr>
                <w:sz w:val="24"/>
                <w:highlight w:val="none"/>
              </w:rPr>
              <w:t>M/S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二、质量要求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 日常维保标准：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（1）浙江省电梯维修保养安全管理规范（DB33／728－2009）；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（2）电梯使用管理与维修保养规则（TSGT5001－2009）；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（3）电梯维修规范（G／T18775－2002）；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（4）电梯安装使用说明书；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（5）维修合同。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 服务要求：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（1）接到招修电话（白天30分钟内、晚上45分钟内）必须到达故障现场，及时排除故障（或解救被困电梯人员），如未及时到位而引起的纠份等一切责任由维保单位承担；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（2）常见的小故障原则上要求1小时内排除， 有大的故障及电子故障时, 及时向医院电梯管理员通报，必须在48小时内修复；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（3）按规定期限做好电(扶) 梯全面保养工作(每月2次的月保养、每季及半年1次大的保养) 并出具维修保养记录， 院方电梯管理员认可签字方为有效；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（4）做好电（扶）梯年检前的一切准备工作，确保质检部门年检合格（年检费用由院方承担）；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（5）在维保期间做好安全防范措施，因安全防范不到位，工作疏忽或失职造成的人员伤亡和设备损坏，由维保单位负全责（含相关法律责任）；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（6）对需要更换的各种配件材料，经事先告知院方，院方电梯管理员及总务科相关负责人签字后方有效；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（7）各种配件、材料的规格、型号必须和合同附件的配品、配件相符，符合国家技术标准；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（8）因损坏维修更换下来的零件应放置在我院指定的地方保存，不得随意处置；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（9）医院享有修理或改造电梯设施的优先权和决定权；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（10）毎次维修保养记录必须由我院指定电梯管理人员签字确认, 否则相应保养工作要求重做；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（11）投标报价应包含人员工资、各项绩效和奖励费用、各项社保费用、法定节假日及每周休息日加班费用、中标单位利润、税费、服装费、体检费、过节费及其它一切费用。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三、考核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按本章第二条质量要求进行考核。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（1）督查发现一般差错每次扣人民币50元；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（2）接到招修电话（白天30分钟内、晚上45分钟内）必须到达故障现场，及时排除故障,违者发现一次罚款100元； 接到招修电话后45分钟后到达维修, 每次罚款200元； 如因电梯故障困人接到招修电话后1小时后到达维修，每次罚款500元；如未及时到位而引起的纠份等一切责任由维保单位承担； 发生电梯重大事故, 如因电梯维保未到位而引起的纠份等一切责任由维保单位承担，医院有权中止合同, 一切责任由维保单位承担。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b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>四、评判办法及标准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以最低价成交法确定成交供应商，最低价成交法，是指以评审价格为主要因素确定成交候选</w:t>
      </w:r>
      <w:r>
        <w:rPr>
          <w:rFonts w:hint="eastAsia" w:asciiTheme="minorHAnsi" w:hAnsiTheme="minorHAnsi" w:cstheme="minorBidi"/>
          <w:kern w:val="2"/>
          <w:sz w:val="24"/>
          <w:szCs w:val="24"/>
          <w:lang w:val="en-US" w:eastAsia="zh-CN" w:bidi="ar-SA"/>
        </w:rPr>
        <w:t>供应商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的评判方法，即满足</w:t>
      </w:r>
      <w:r>
        <w:rPr>
          <w:rFonts w:hint="eastAsia" w:asciiTheme="minorHAnsi" w:hAnsiTheme="minorHAnsi" w:cstheme="minorBidi"/>
          <w:kern w:val="2"/>
          <w:sz w:val="24"/>
          <w:szCs w:val="24"/>
          <w:lang w:val="en-US" w:eastAsia="zh-CN" w:bidi="ar-SA"/>
        </w:rPr>
        <w:t>询价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采购文件实质性要求前提下，依据统一的评审价格要素评定最低报价，以提出最低报价的</w:t>
      </w:r>
      <w:r>
        <w:rPr>
          <w:rFonts w:hint="eastAsia" w:asciiTheme="minorHAnsi" w:hAnsiTheme="minorHAnsi" w:cstheme="minorBidi"/>
          <w:kern w:val="2"/>
          <w:sz w:val="24"/>
          <w:szCs w:val="24"/>
          <w:lang w:val="en-US" w:eastAsia="zh-CN" w:bidi="ar-SA"/>
        </w:rPr>
        <w:t>供应商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作为成交候选供应商或者成交供应商的评判方法。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>五</w:t>
      </w:r>
      <w:r>
        <w:rPr>
          <w:b/>
          <w:sz w:val="24"/>
          <w:szCs w:val="24"/>
          <w:highlight w:val="none"/>
        </w:rPr>
        <w:t>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维保期限为一年（其中1号楼7#和8#梯从2023年3月1日起计算，剩余电梯均按合同签订之日起计算），维保期满后经采购人同意可续签2次，每次1年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2、付款方法和条件：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9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每年的电梯维护保养费用分2次支付，首次保养费用于合同期满半年后支付合同价的50%，合同期满一年后支付后50%保养费用</w:t>
      </w:r>
      <w:r>
        <w:rPr>
          <w:rFonts w:hint="eastAsia"/>
          <w:sz w:val="24"/>
          <w:szCs w:val="24"/>
          <w:lang w:val="zh-CN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电梯保养费凭发票，合同、验收单由采购人直接支付。</w:t>
      </w: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440" w:lineRule="exact"/>
        <w:rPr>
          <w:rFonts w:ascii="宋体" w:hAnsi="宋体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______________________（询价响应人）法定代表人___________________授权__________________（全权代表名称）为全权代表，参加贵方组织的_____________________（项目</w:t>
      </w:r>
      <w:r>
        <w:rPr>
          <w:rFonts w:hint="eastAsia" w:ascii="宋体" w:hAnsi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/>
          <w:sz w:val="24"/>
          <w:szCs w:val="24"/>
        </w:rPr>
        <w:t>），全权处理询价活动中的一切事宜。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440" w:lineRule="exact"/>
        <w:ind w:firstLine="480"/>
        <w:jc w:val="right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全权代表姓名：_______________________________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身份证件号码：_______________________________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        务：_______________________________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详细通讯地址：_______________________________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    真：_______________________________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        话：_______________________________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  政 编 码：_______________________________</w:t>
      </w:r>
    </w:p>
    <w:p>
      <w:pPr>
        <w:spacing w:line="420" w:lineRule="exact"/>
        <w:ind w:firstLine="420" w:firstLineChars="175"/>
        <w:jc w:val="center"/>
        <w:rPr>
          <w:rFonts w:hint="eastAsia" w:ascii="宋体" w:hAnsi="宋体"/>
          <w:bCs/>
          <w:sz w:val="24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报价一览表</w:t>
      </w:r>
    </w:p>
    <w:p>
      <w:pPr>
        <w:pStyle w:val="5"/>
        <w:spacing w:before="312" w:beforeLines="100" w:line="360" w:lineRule="auto"/>
        <w:ind w:left="18" w:hanging="18" w:hangingChars="6"/>
        <w:rPr>
          <w:rFonts w:ascii="楷体" w:hAnsi="楷体" w:eastAsia="楷体" w:cs="仿宋"/>
          <w:sz w:val="30"/>
          <w:szCs w:val="30"/>
        </w:rPr>
      </w:pPr>
      <w:r>
        <w:rPr>
          <w:rFonts w:hint="eastAsia" w:ascii="楷体" w:hAnsi="楷体" w:eastAsia="楷体" w:cs="仿宋"/>
          <w:sz w:val="30"/>
          <w:szCs w:val="30"/>
        </w:rPr>
        <w:t xml:space="preserve"> </w:t>
      </w:r>
    </w:p>
    <w:tbl>
      <w:tblPr>
        <w:tblStyle w:val="14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488"/>
        <w:gridCol w:w="2112"/>
        <w:gridCol w:w="2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default" w:ascii="宋体" w:hAnsi="宋体" w:cs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项目名称</w:t>
            </w:r>
          </w:p>
        </w:tc>
        <w:tc>
          <w:tcPr>
            <w:tcW w:w="248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default" w:ascii="宋体" w:hAnsi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维保电梯</w:t>
            </w:r>
          </w:p>
        </w:tc>
        <w:tc>
          <w:tcPr>
            <w:tcW w:w="211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最高限价</w:t>
            </w:r>
          </w:p>
        </w:tc>
        <w:tc>
          <w:tcPr>
            <w:tcW w:w="294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Cs w:val="21"/>
              </w:rPr>
              <w:t>报价（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人民币/元/年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金华市中医医院电梯维护保养服务采购项目</w:t>
            </w: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总务仓库杂物梯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default" w:ascii="宋体" w:hAnsi="宋体" w:cs="宋体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3500元/年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中药库杂物梯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3500元/年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门诊医梯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default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4000元/年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残联医梯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4000元/年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制剂室货梯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3500元/年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康复中心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4000元/年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1号楼7号梯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4000元/年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24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1号楼8号梯</w:t>
            </w:r>
          </w:p>
        </w:tc>
        <w:tc>
          <w:tcPr>
            <w:tcW w:w="21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/>
              <w:jc w:val="center"/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  <w:lang w:val="en-US" w:eastAsia="zh-CN"/>
              </w:rPr>
              <w:t>4000元/年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420" w:firstLineChars="2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  <w:u w:val="none"/>
                <w:lang w:val="en-US" w:eastAsia="zh-CN"/>
              </w:rPr>
              <w:t>元/年</w:t>
            </w:r>
            <w:r>
              <w:rPr>
                <w:rFonts w:hint="eastAsia" w:ascii="宋体" w:hAnsi="宋体" w:cs="宋体"/>
                <w:bCs/>
                <w:szCs w:val="21"/>
              </w:rPr>
              <w:t>（小写）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630" w:firstLineChars="300"/>
              <w:rPr>
                <w:rFonts w:hint="default" w:ascii="宋体" w:hAnsi="宋体" w:cs="宋体" w:eastAsiaTheme="minorEastAsia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投标总</w:t>
            </w:r>
            <w:r>
              <w:rPr>
                <w:rFonts w:hint="eastAsia" w:ascii="宋体" w:hAnsi="宋体" w:cs="宋体"/>
                <w:szCs w:val="21"/>
              </w:rPr>
              <w:t>报价（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人民币/元/年</w:t>
            </w:r>
            <w:r>
              <w:rPr>
                <w:rFonts w:hint="eastAsia"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元/年（大写）</w:t>
            </w:r>
          </w:p>
        </w:tc>
      </w:tr>
    </w:tbl>
    <w:p>
      <w:pPr>
        <w:pStyle w:val="10"/>
        <w:snapToGrid w:val="0"/>
        <w:spacing w:line="400" w:lineRule="exact"/>
        <w:ind w:left="14" w:leftChars="0" w:hanging="14" w:hangingChars="6"/>
        <w:jc w:val="left"/>
        <w:rPr>
          <w:rFonts w:hint="eastAsia" w:ascii="楷体" w:hAnsi="楷体" w:eastAsia="楷体" w:cs="仿宋"/>
          <w:b/>
          <w:color w:val="000000"/>
          <w:sz w:val="24"/>
        </w:rPr>
      </w:pPr>
      <w:r>
        <w:rPr>
          <w:rFonts w:hint="eastAsia" w:ascii="楷体" w:hAnsi="楷体" w:eastAsia="楷体" w:cs="仿宋"/>
          <w:b/>
          <w:color w:val="000000"/>
          <w:sz w:val="24"/>
        </w:rPr>
        <w:t>注：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1</w:t>
      </w:r>
      <w:r>
        <w:rPr>
          <w:rFonts w:hint="eastAsia" w:ascii="楷体" w:hAnsi="楷体" w:eastAsia="楷体" w:cs="仿宋"/>
          <w:b/>
          <w:color w:val="000000"/>
          <w:sz w:val="24"/>
        </w:rPr>
        <w:t>.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投标报价</w:t>
      </w:r>
      <w:r>
        <w:rPr>
          <w:rFonts w:hint="eastAsia" w:ascii="楷体" w:hAnsi="楷体" w:eastAsia="楷体" w:cs="仿宋"/>
          <w:b/>
          <w:color w:val="000000"/>
          <w:sz w:val="24"/>
        </w:rPr>
        <w:t>不得超过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预算金额</w:t>
      </w:r>
      <w:r>
        <w:rPr>
          <w:rFonts w:hint="eastAsia" w:ascii="楷体" w:hAnsi="楷体" w:eastAsia="楷体" w:cs="仿宋"/>
          <w:b/>
          <w:color w:val="000000"/>
          <w:sz w:val="24"/>
        </w:rPr>
        <w:t>，否则作无效标处理。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940" w:firstLineChars="39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8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1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：金华市中医医院常用配件清单报价表</w:t>
      </w:r>
    </w:p>
    <w:p>
      <w:pPr>
        <w:pStyle w:val="10"/>
        <w:rPr>
          <w:rFonts w:hint="default" w:ascii="宋体" w:hAnsi="宋体" w:eastAsia="宋体" w:cs="宋体"/>
          <w:b w:val="0"/>
          <w:bCs w:val="0"/>
          <w:kern w:val="44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44"/>
          <w:sz w:val="36"/>
          <w:szCs w:val="36"/>
          <w:lang w:val="en-US" w:eastAsia="zh-CN" w:bidi="ar-SA"/>
        </w:rPr>
        <w:t>★投标供应商须根据以下配件材料的品牌及规格型号进行报价，投标报价不得高于最高限价，请参与投标的供应商根据自身企业经营情况及优势自行报价，并承诺</w:t>
      </w:r>
      <w:r>
        <w:rPr>
          <w:rFonts w:hint="eastAsia" w:ascii="宋体" w:hAnsi="宋体" w:eastAsia="宋体" w:cs="宋体"/>
          <w:b w:val="0"/>
          <w:bCs w:val="0"/>
          <w:kern w:val="44"/>
          <w:sz w:val="36"/>
          <w:szCs w:val="36"/>
          <w:lang w:val="en-US" w:eastAsia="en-US" w:bidi="ar-SA"/>
        </w:rPr>
        <w:t>不在清单范围内的维修材料</w:t>
      </w:r>
      <w:r>
        <w:rPr>
          <w:rFonts w:hint="eastAsia" w:ascii="宋体" w:hAnsi="宋体" w:eastAsia="宋体" w:cs="宋体"/>
          <w:b w:val="0"/>
          <w:bCs w:val="0"/>
          <w:kern w:val="44"/>
          <w:sz w:val="36"/>
          <w:szCs w:val="36"/>
          <w:lang w:val="en-US" w:eastAsia="zh-CN" w:bidi="ar-SA"/>
        </w:rPr>
        <w:t>以采购人市场询价结果作为结算基准</w:t>
      </w:r>
      <w:r>
        <w:rPr>
          <w:rFonts w:hint="eastAsia" w:ascii="宋体" w:hAnsi="宋体" w:eastAsia="宋体" w:cs="宋体"/>
          <w:b w:val="0"/>
          <w:bCs w:val="0"/>
          <w:kern w:val="44"/>
          <w:sz w:val="36"/>
          <w:szCs w:val="36"/>
          <w:lang w:val="en-US" w:eastAsia="en-US" w:bidi="ar-SA"/>
        </w:rPr>
        <w:t>。</w:t>
      </w:r>
      <w:r>
        <w:rPr>
          <w:rFonts w:hint="eastAsia" w:ascii="宋体" w:hAnsi="宋体" w:eastAsia="宋体" w:cs="宋体"/>
          <w:b w:val="0"/>
          <w:bCs w:val="0"/>
          <w:kern w:val="44"/>
          <w:sz w:val="36"/>
          <w:szCs w:val="36"/>
          <w:lang w:val="en-US" w:eastAsia="en-US" w:bidi="ar-SA"/>
        </w:rPr>
        <w:tab/>
      </w:r>
    </w:p>
    <w:tbl>
      <w:tblPr>
        <w:tblStyle w:val="14"/>
        <w:tblW w:w="911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6"/>
        <w:gridCol w:w="2344"/>
        <w:gridCol w:w="700"/>
        <w:gridCol w:w="1123"/>
        <w:gridCol w:w="1846"/>
        <w:gridCol w:w="11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91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金华市中医医院常用配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eastAsia="zh-CN"/>
              </w:rPr>
              <w:t>件清单报价表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配件名称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规格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单位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最高限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价（元）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产地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投标报价（元）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鲤基油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15KG/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桶美孚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346.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86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国产件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垫片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GAA255MK1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0.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376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国产件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锂基油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1KG/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桶，用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“S3”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替代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12.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国产件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齿轮油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18L/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桶（33#）电梯专用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246.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国产件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齿轮油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20。桶（45#）电梯专用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817.8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国产件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西门子继电器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AC250V/16A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670.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德国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机械开关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单触点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广州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机械开关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双触点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27.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6F7689"/>
                <w:spacing w:val="0"/>
                <w:w w:val="100"/>
                <w:position w:val="0"/>
                <w:sz w:val="21"/>
                <w:szCs w:val="21"/>
              </w:rPr>
              <w:t>广州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color w:val="6F7689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机械开关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4312/NONE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31.96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广州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限速器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1.0M/S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单向奥德普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1127.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06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电子门电缆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232.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18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瑞士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门挂轮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直径55铁轮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104.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34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变频器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 xml:space="preserve">安川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15KW C1MR-G7B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10405.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日本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光幕电源盒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CEDES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655.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18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瑞士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楼层显示板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乘客电梯（双八）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276.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36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杭州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楼层显示板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杂物电梯（单八）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152.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28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杭州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连锁装置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宁波申菱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344.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98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杂物电梯门锁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三特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190.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82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山东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门胶条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9.4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精密电器清洁剂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16OZ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82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天津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触头装配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9.4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警铃电源盒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169.2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天津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门机接口板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欣达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MJPC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822.5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风机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申花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FB-9B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281.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06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上海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抱闸线圈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奥的斯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17CT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1503.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06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天津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抱闸线圈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宁波欣达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1348.9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宁波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光幕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CEDES MINMAX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2204.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瑞士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油盒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53.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58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湖州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接油盒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ri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5.64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湖州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 xml:space="preserve">用于24~35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补偿链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件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82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  <w:t>苏州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4"/>
        <w:tblW w:w="95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2"/>
        <w:gridCol w:w="3198"/>
        <w:gridCol w:w="748"/>
        <w:gridCol w:w="1270"/>
        <w:gridCol w:w="1191"/>
        <w:gridCol w:w="1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自动断路器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FAZC4-1P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36.66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检修盒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300.8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急停开关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155.1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项房高台急停开关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156.98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急停开关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4312/NONE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—开关及触头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28.2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电梯门滑块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8. 46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继电器座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用于 DO613B3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4.7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微动开关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OMRON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29.14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轿厢轴流风机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恒达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182. 36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计时仪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OMRON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228.42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变频器风机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DC24V 富士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297. 04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橡胶垫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0. 94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国产件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钮子开关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4312/NONE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23.5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门机限位开关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18DS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129. 72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门机变频器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VF5+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2798. 38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天津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门机电机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YVP9O申菱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668.34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电源锁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0412/三位置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41.36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机械油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17KG/桶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110.92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国产件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接触器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SC-05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富士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303.62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应急灯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117.5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国产件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SH-4AC110V4A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79.9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SH-4/GDC24V2A2B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147. 58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SH-4AC110V5B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109.04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偏心轮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14.1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滑轮支架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28.2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滑轮部件装配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28.2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辅助接点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富士 SZ-A22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辅助接点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富士 SZ-A31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30.08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安全钳开关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44.18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外召按钮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乘客电梯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外召按钮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42.3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涨紧轮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501. 02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闸衬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278.24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旋转编码器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SBH-1024-2T-16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2963. 82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4"/>
        <w:tblW w:w="89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7"/>
        <w:gridCol w:w="2705"/>
        <w:gridCol w:w="755"/>
        <w:gridCol w:w="1265"/>
        <w:gridCol w:w="1156"/>
        <w:gridCol w:w="11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钢丝绳绳头组合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111. 86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杂物电梯抱闸磁铁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948. 46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辽宁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装饰顶用机玻璃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130. 66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曳引轮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700*3*13*90°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2721.3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扁电缆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1.5*36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97. 76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导轨加油盒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圆，弯板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缓冲器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乘客电梯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2004. 08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河北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缓冲器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220.9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河北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减速开关及极限开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乘客电梯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137. 24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减速开关及极限开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67. 68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轿门门锁开关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135. 36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厅门门锁开关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88. 36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厅门强迫减速装置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126.9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杂物电梯钢丝绳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直径10 高盛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10. 34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电梯曳引钢丝绳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直径13 12高盛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电梯曳引钢丝绳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直径10 高盛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轿内显示器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天河DC24V BCD玛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222. 78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消防玻璃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2. 82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国产件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电梯应急照明装置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DC12V带锂电池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222. 78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缓冲器开关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UKS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60.16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涨紧轮开关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机械式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104. 34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限速器开关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机械式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42.3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3TH9031-AC110V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111.86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3TH9031-AC220V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125. 96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相序继电器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恒达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141.94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转换开关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轿顶检修盒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640. 14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地坑急停开关盒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乘客电梯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223.72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地坑急停检修盒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93.06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辽宁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钥匙组件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4306/NONE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三角钥匙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0424/NONE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3.76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厅门钢丝绳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宁波申菱1200MM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60.16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4"/>
        <w:tblW w:w="91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5"/>
        <w:gridCol w:w="2720"/>
        <w:gridCol w:w="763"/>
        <w:gridCol w:w="1280"/>
        <w:gridCol w:w="1181"/>
        <w:gridCol w:w="11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橡胶垫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1.88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厅门滑块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4324/NONE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8.46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衬板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石墨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门锁触点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15. 04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风机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212.44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锁母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0.94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钮簧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0.94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上海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安全钳开关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0412/1.75M/S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58. 28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涨紧轮轴承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控制接触器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SC24V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 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24. 44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282.94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哈尔滨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运行接触器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用ABB-A63替代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501.02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蜂鸣器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0407 / NONE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.27. 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苏州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外召面板透光片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16.92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衬垫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0424/衬垫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门机皮带夹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限速器钢丝绳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直径6 髙盛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天津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门机皮带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同步带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34. 78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轿厢照明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LED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49.82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平层开关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CEDES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189.88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瑞士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杂物电梯平层开关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东海永磁感应器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65.8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限位开关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LSK-DC1122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97. 76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对重导靴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88. 36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轿厢导靴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三菱型16mm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411.72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杂物电梯导靴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10mm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168. 26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辽宁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控制开关电源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220V/24V 明纬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323. 36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电梯轿门门刀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异步门刀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516.06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宁波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电梯控制整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流桥堆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电梯机房检修开关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29.14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湖州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电梯检修按钮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21.62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轿厢操纵厢锁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49.82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电梯厅外电源锁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42.3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杭州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4"/>
        <w:tblW w:w="93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1"/>
        <w:gridCol w:w="2708"/>
        <w:gridCol w:w="763"/>
        <w:gridCol w:w="1278"/>
        <w:gridCol w:w="1258"/>
        <w:gridCol w:w="12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门区光电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655.18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楼层显示电源板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0416/N0NE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640.14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日立厅外显示板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601.6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日立门机变频板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3616.18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日立门电机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GE46 DV48V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1284.98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日立门电机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32098008 AC110V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1060.32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日立轿内显示器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739.78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日立轿顶通讯板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2196.78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RIOB 16511649-A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1065.96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NOIB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16502870-A/12500784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1256. 78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继电器板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1650436-A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1734.3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油盒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53.58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接油盒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5.64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补偿链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24-35 mm全塑补偿链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57. 34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检修盒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300.8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滚轮导靴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18/24K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1171.24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空心导靴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9K 12500680-A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12502038 D18. 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14785.26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12510404 A7. 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7602. 72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GVF2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11544.14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H7-15-4GA7 14500639-C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26792.82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14503679 HELGL1-4V1-30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21864.4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EV-ECD01-4T0110 UKW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9134.92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EV-ECD01-4T0150 15KW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10707.54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变频器风扇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3108ni-05wb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139.12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变频器风扇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4715KL-05W-B20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200.22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模块风扇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36430960-B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425.82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贯流风扇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GF-972L/12500619-A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272.6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轿厢风扇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DTS-22-220A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886.42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4"/>
        <w:tblW w:w="95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5"/>
        <w:gridCol w:w="2792"/>
        <w:gridCol w:w="802"/>
        <w:gridCol w:w="1323"/>
        <w:gridCol w:w="1255"/>
        <w:gridCol w:w="12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.检修灯电源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13507115-A RQ-O12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383. 52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抱闸电源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13504065-A RQ-P48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883.6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应急照明蓄电池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32142788-A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394.8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应急灯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件.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117.5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涡流传感器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22502066-A-DW-01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257. 56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广州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主机旋转编码器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TS5210N485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3366.14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主机旋转编码器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TS5210N480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3023.98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主机旋转编码器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TS5233N572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2062. 36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主机旋转编码器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TS5210N453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2633.88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HES-0512-2MHC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633.56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HES-036-2MHC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746.36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门机旋转编码器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HES-28-5D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1750. 28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富士进口接触器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DC48V80A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1503.06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抱闸接触器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DC48V15A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416.42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控制主板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MUCB02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6667.42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控制稳压电源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DC48V DC24V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1888.46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日本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不在清单范围内的维修材料按市场价结算。</w:t>
            </w: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</w:p>
        </w:tc>
      </w:tr>
    </w:tbl>
    <w:p>
      <w:pPr>
        <w:pStyle w:val="10"/>
        <w:rPr>
          <w:rFonts w:hint="default"/>
          <w:b/>
          <w:bCs/>
          <w:lang w:val="en-US" w:eastAsia="zh-CN"/>
        </w:rPr>
      </w:pPr>
    </w:p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zVjYjhkOGRhOTYwMDAxZjM4YmZhMDI0ZDEzOTcifQ=="/>
  </w:docVars>
  <w:rsids>
    <w:rsidRoot w:val="221914C3"/>
    <w:rsid w:val="02AF3CF4"/>
    <w:rsid w:val="05357CB1"/>
    <w:rsid w:val="058D5451"/>
    <w:rsid w:val="1B55441A"/>
    <w:rsid w:val="1D0648F8"/>
    <w:rsid w:val="221914C3"/>
    <w:rsid w:val="23E1794B"/>
    <w:rsid w:val="240B0AE7"/>
    <w:rsid w:val="37F53C00"/>
    <w:rsid w:val="3C1E3840"/>
    <w:rsid w:val="526B6F80"/>
    <w:rsid w:val="528D5096"/>
    <w:rsid w:val="5807253F"/>
    <w:rsid w:val="5E4307EA"/>
    <w:rsid w:val="6CC67B59"/>
    <w:rsid w:val="6CFE6B22"/>
    <w:rsid w:val="6F590783"/>
    <w:rsid w:val="720E6666"/>
    <w:rsid w:val="73057BEB"/>
    <w:rsid w:val="7A021D71"/>
    <w:rsid w:val="7E3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paragraph" w:styleId="5">
    <w:name w:val="Normal Indent"/>
    <w:basedOn w:val="1"/>
    <w:next w:val="6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7"/>
    <w:qFormat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7">
    <w:name w:val="Body Text First Indent 2"/>
    <w:basedOn w:val="6"/>
    <w:qFormat/>
    <w:uiPriority w:val="0"/>
    <w:pPr>
      <w:ind w:firstLine="420" w:firstLineChars="200"/>
    </w:pPr>
  </w:style>
  <w:style w:type="paragraph" w:styleId="8">
    <w:name w:val="Body Text"/>
    <w:basedOn w:val="1"/>
    <w:next w:val="9"/>
    <w:qFormat/>
    <w:uiPriority w:val="0"/>
    <w:rPr>
      <w:sz w:val="24"/>
    </w:rPr>
  </w:style>
  <w:style w:type="paragraph" w:styleId="9">
    <w:name w:val="Body Text First Indent"/>
    <w:basedOn w:val="8"/>
    <w:next w:val="1"/>
    <w:qFormat/>
    <w:uiPriority w:val="0"/>
    <w:pPr>
      <w:ind w:firstLine="420" w:firstLineChars="100"/>
    </w:pPr>
    <w:rPr>
      <w:sz w:val="21"/>
    </w:rPr>
  </w:style>
  <w:style w:type="paragraph" w:styleId="10">
    <w:name w:val="Plain Text"/>
    <w:basedOn w:val="1"/>
    <w:next w:val="11"/>
    <w:qFormat/>
    <w:uiPriority w:val="0"/>
    <w:rPr>
      <w:rFonts w:ascii="宋体" w:hAnsi="Courier New"/>
      <w:szCs w:val="20"/>
    </w:rPr>
  </w:style>
  <w:style w:type="paragraph" w:styleId="11">
    <w:name w:val="toc 2"/>
    <w:basedOn w:val="1"/>
    <w:next w:val="1"/>
    <w:qFormat/>
    <w:uiPriority w:val="0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240" w:beforeAutospacing="0" w:after="60" w:afterAutospacing="0"/>
      <w:ind w:left="0" w:right="0"/>
      <w:jc w:val="center"/>
      <w:outlineLvl w:val="0"/>
    </w:pPr>
    <w:rPr>
      <w:rFonts w:ascii="Cambria" w:hAnsi="Cambria"/>
      <w:b/>
      <w:color w:val="000000"/>
      <w:kern w:val="0"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43F52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4657</Words>
  <Characters>6746</Characters>
  <Lines>0</Lines>
  <Paragraphs>0</Paragraphs>
  <TotalTime>5</TotalTime>
  <ScaleCrop>false</ScaleCrop>
  <LinksUpToDate>false</LinksUpToDate>
  <CharactersWithSpaces>7081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2020-07-21T07:43:00Z</dcterms:created>
  <dc:creator>见微知著</dc:creator>
  <cp:lastModifiedBy>Administrator</cp:lastModifiedBy>
  <dcterms:modified xsi:type="dcterms:W3CDTF">2022-08-18T23:59:01Z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2E3B3D08414C4EB3BDE592AFDD88DABC</vt:lpwstr>
  </property>
</Properties>
</file>