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80" w:lineRule="atLeast"/>
        <w:ind w:left="0" w:right="0" w:firstLine="0"/>
        <w:jc w:val="center"/>
        <w:rPr>
          <w:rFonts w:hint="default" w:ascii="黑体" w:hAnsi="宋体" w:eastAsia="黑体" w:cs="黑体"/>
          <w:b/>
          <w:i w:val="0"/>
          <w:caps w:val="0"/>
          <w:color w:val="474646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aps w:val="0"/>
          <w:color w:val="474646"/>
          <w:spacing w:val="0"/>
          <w:kern w:val="0"/>
          <w:sz w:val="36"/>
          <w:szCs w:val="36"/>
          <w:shd w:val="clear" w:fill="FFFFFF"/>
          <w:lang w:val="en-US" w:eastAsia="zh-CN" w:bidi="ar"/>
        </w:rPr>
        <w:t>金华市中医医院定制家具调研公告</w:t>
      </w:r>
    </w:p>
    <w:p>
      <w:pPr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00" w:lineRule="atLeast"/>
        <w:ind w:left="0" w:right="0" w:firstLine="560"/>
        <w:jc w:val="both"/>
        <w:rPr>
          <w:rFonts w:hint="default" w:ascii="Tahoma" w:hAnsi="Tahoma" w:eastAsia="Tahoma" w:cs="Tahoma"/>
          <w:i w:val="0"/>
          <w:caps w:val="0"/>
          <w:color w:val="474646"/>
          <w:spacing w:val="0"/>
          <w:sz w:val="21"/>
          <w:szCs w:val="21"/>
        </w:rPr>
      </w:pPr>
      <w:bookmarkStart w:id="0" w:name="_Toc35393629"/>
      <w:bookmarkStart w:id="1" w:name="_Toc35393798"/>
      <w:bookmarkStart w:id="2" w:name="_Toc28359012"/>
      <w:bookmarkStart w:id="3" w:name="_Toc28359089"/>
      <w:r>
        <w:rPr>
          <w:rFonts w:hint="eastAsia" w:ascii="仿宋_GB2312" w:hAnsi="Tahoma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根据我院工作需要，将对金华市中医医院中医药传承创新大楼病房定制家具（储存柜）公开调研，欢迎国内合格的供应商前来参加</w:t>
      </w:r>
      <w:r>
        <w:rPr>
          <w:rFonts w:hint="default" w:ascii="仿宋_GB2312" w:hAnsi="Tahoma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</w:t>
      </w:r>
      <w:bookmarkEnd w:id="0"/>
      <w:bookmarkEnd w:id="1"/>
      <w:bookmarkEnd w:id="2"/>
      <w:bookmarkEnd w:id="3"/>
      <w:bookmarkStart w:id="4" w:name="_Toc28359013"/>
      <w:bookmarkStart w:id="5" w:name="_Toc28359090"/>
      <w:bookmarkStart w:id="6" w:name="_Toc35393799"/>
      <w:bookmarkStart w:id="7" w:name="_Toc35393630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采购内容：</w:t>
      </w:r>
    </w:p>
    <w:tbl>
      <w:tblPr>
        <w:tblStyle w:val="15"/>
        <w:tblW w:w="9762" w:type="dxa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461"/>
        <w:gridCol w:w="4787"/>
        <w:gridCol w:w="729"/>
        <w:gridCol w:w="708"/>
        <w:gridCol w:w="1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05" w:leftChars="50" w:right="105" w:rightChars="5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名称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技术参数和性能指标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（配置）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规格要求（mm）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42" w:leftChars="20" w:right="42" w:rightChars="2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储存柜</w:t>
            </w:r>
          </w:p>
        </w:tc>
        <w:tc>
          <w:tcPr>
            <w:tcW w:w="4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left="105" w:leftChars="50" w:right="105" w:rightChars="50"/>
              <w:jc w:val="left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▲1、选用《莫干山，兔宝宝，千年舟》品牌贴面防火板：优质免漆纸饰面，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符合GB/T 7911-2013（热固性树脂浸渍纸高压装饰层积板（HPL）），检测项包含：规格尺寸及偏差、外观质量、理化性能：耐干热、耐湿热、耐水蒸气、耐划痕、耐污染、耐光色牢度、耐香烟灼烧均不低于1级、耐老化性能无开裂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基材：采用优质环保防火板，产品等级达到E0级，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板材厚度20MM，公差±2MM，符合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GB/T 7911-2013《热固性树脂浸渍纸高压装饰层积板(HPL)》、GB18580-2017《室内装饰装修材料人造板及其制品中甲醛释放限量》、GB/T35601-2017《绿色产品评价人造板和木质地板》，耐磨性能≥4级，苯、甲苯、二甲苯未含量检出，总挥发性有机化合物(TVOC)含量未检出，甲醛释放量≤0.01mg/m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left="105" w:leftChars="50" w:right="105" w:rightChars="50"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▲2、封边用材：1.5mm厚PVC胶边，进口PUR胶. 封边用材：与贴面用材种类相同或颜色相近，PVC封边采用全自动直线封边，进口PUR胶不易脱落；PVC封边条符合：QB/T4463-2013甲醛释放量0.3mg/L，可溶性镉未检出，可溶性铬1.1mg/kg，可溶性铅2.7mg/kg，可溶性汞未检出，可溶性砷未检出，可溶性钡1.1mg/kg，可溶性锑未检出，可溶性硒未检出，邻苯二甲酸酯符合国家标准，外观、形状位置公差符合国家要求，理化性能包含耐干热、耐磨、耐老化、耐冷热循环符合国家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8" w:lineRule="auto"/>
              <w:ind w:left="105" w:leftChars="50" w:right="105" w:rightChars="50"/>
              <w:jc w:val="left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▲3、五金：采用《名门，东泰，顶固，海蒂诗，诺米》304不锈钢缓冲阻尼铰链、静音三节导轨。导轨符合：垂直向下静载荷、水平侧向静载荷、拉出安全性、耐久性、操作力均判定合格；乙酸盐雾要求连续喷雾≥480h，金属表面耐腐蚀等级达到10级。铰链：符合QB/T 2189-2013《家具五金 杯状暗铰链》和QB/T 3826-1999《轻工产品金属镀层和化学处理层的耐腐蚀试验方法 中性盐雾试验（NSS）法》，垂直静载荷、水平静载荷达到合格，且中性盐雾试验要求连续喷雾达到480h。缓冲较链符合：垂直静载荷、水平静载荷达到合格，乙酸盐雾试验（ASS）连续喷雾≥480h，镀（涂）层本身耐腐蚀等级10级，镀（涂）层对基体的保护等级10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05" w:leftChars="50" w:right="105" w:rightChars="5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4、配置：本项目柜门采用免拉手设计要求简洁、大方符合人体工学便于柜门打开.并要保持柜子整体美观度。柜门可90度打开。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只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2580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2450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</w:trPr>
        <w:tc>
          <w:tcPr>
            <w:tcW w:w="97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470" w:firstLineChars="700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FF0000"/>
                <w:kern w:val="0"/>
                <w:sz w:val="21"/>
                <w:szCs w:val="21"/>
                <w:lang w:val="en-US" w:eastAsia="zh-CN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207010</wp:posOffset>
                  </wp:positionV>
                  <wp:extent cx="2586355" cy="2311400"/>
                  <wp:effectExtent l="0" t="0" r="4445" b="3175"/>
                  <wp:wrapNone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355" cy="2311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参考图片：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二、供应商资格要求: 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具有独立承担民事责任能力；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具有良好的商业信誉和健全的财务会计制度；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具有履行合同所必需的设备和专业技术能力；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 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有依法缴纳税收和社会保障资金的良好记录；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 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参加政府采购活动前三年内，在经营中没有重大违法记录。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   </w:t>
      </w:r>
    </w:p>
    <w:p>
      <w:pP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三、报名时间及联系方式：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报名时间：公告发布之日开始报名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 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color w:val="FF0000"/>
          <w:sz w:val="24"/>
          <w:szCs w:val="24"/>
          <w:lang w:val="en-US" w:eastAsia="zh-CN"/>
        </w:rPr>
        <w:t>2024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年 3月26日</w:t>
      </w:r>
      <w:r>
        <w:rPr>
          <w:rFonts w:hint="default" w:ascii="仿宋" w:hAnsi="仿宋" w:eastAsia="仿宋" w:cs="仿宋"/>
          <w:color w:val="FF0000"/>
          <w:sz w:val="24"/>
          <w:szCs w:val="24"/>
          <w:lang w:val="en-US" w:eastAsia="zh-CN"/>
        </w:rPr>
        <w:t>  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—</w:t>
      </w:r>
      <w:r>
        <w:rPr>
          <w:rFonts w:hint="default" w:ascii="仿宋" w:hAnsi="仿宋" w:eastAsia="仿宋" w:cs="仿宋"/>
          <w:color w:val="FF0000"/>
          <w:sz w:val="24"/>
          <w:szCs w:val="24"/>
          <w:lang w:val="en-US" w:eastAsia="zh-CN"/>
        </w:rPr>
        <w:t>  2024</w:t>
      </w:r>
      <w:r>
        <w:rPr>
          <w:rFonts w:hint="eastAsia" w:ascii="仿宋" w:hAnsi="仿宋" w:eastAsia="仿宋" w:cs="仿宋"/>
          <w:color w:val="FF0000"/>
          <w:sz w:val="24"/>
          <w:szCs w:val="24"/>
          <w:lang w:val="en-US" w:eastAsia="zh-CN"/>
        </w:rPr>
        <w:t>年4月 2 日下午</w:t>
      </w:r>
      <w:r>
        <w:rPr>
          <w:rFonts w:hint="default" w:ascii="仿宋" w:hAnsi="仿宋" w:eastAsia="仿宋" w:cs="仿宋"/>
          <w:color w:val="FF0000"/>
          <w:sz w:val="24"/>
          <w:szCs w:val="24"/>
          <w:lang w:val="en-US" w:eastAsia="zh-CN"/>
        </w:rPr>
        <w:t>17:00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咨询地点：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总务科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  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行政楼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联系电话：0579-82136873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 xml:space="preserve"> 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调研时间及地址：2024年4月3日下午3点  行政一楼会议室</w:t>
      </w:r>
    </w:p>
    <w:bookmarkEnd w:id="4"/>
    <w:bookmarkEnd w:id="5"/>
    <w:bookmarkEnd w:id="6"/>
    <w:bookmarkEnd w:id="7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四、报名方式：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发送到电子邮箱</w:t>
      </w:r>
      <w:r>
        <w:rPr>
          <w:rFonts w:hint="default" w:ascii="仿宋" w:hAnsi="仿宋" w:eastAsia="仿宋" w:cs="仿宋"/>
          <w:color w:val="FF0000"/>
          <w:sz w:val="24"/>
          <w:szCs w:val="24"/>
          <w:lang w:val="en-US" w:eastAsia="zh-CN"/>
        </w:rPr>
        <w:t>jhzyysbk@126.com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default" w:ascii="微软雅黑" w:hAnsi="微软雅黑" w:eastAsia="微软雅黑" w:cs="微软雅黑"/>
          <w:i w:val="0"/>
          <w:iCs w:val="0"/>
          <w:caps w:val="0"/>
          <w:color w:val="877A6B"/>
          <w:spacing w:val="0"/>
          <w:sz w:val="10"/>
          <w:szCs w:val="10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需提供公司证照复印件（营业执照、经营许可证等）和公司法人对参与调研人员授权书及身份证复印件和联系方式。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五、资料：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参与调研的须现场提供文件正本一份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资料文件包括：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（所有资料复印件必须加盖单位公章）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、公司法人对参与调研人员授权书及身份证复印件 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2、公司证照复印件（营业执照、经营许可证等） 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3、报价单  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4、产品彩页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eastAsia" w:ascii="微软雅黑" w:hAnsi="微软雅黑" w:eastAsia="微软雅黑" w:cs="微软雅黑"/>
          <w:i w:val="0"/>
          <w:iCs w:val="0"/>
          <w:caps w:val="0"/>
          <w:color w:val="877A6B"/>
          <w:spacing w:val="0"/>
          <w:sz w:val="10"/>
          <w:szCs w:val="10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请按以上顺序排列，未上交资料或者未密封的作为不符合要求产品，不需要装订，逐页盖红章。</w:t>
      </w:r>
      <w:r>
        <w:rPr>
          <w:rFonts w:hint="default" w:ascii="仿宋" w:hAnsi="仿宋" w:eastAsia="仿宋" w:cs="仿宋"/>
          <w:sz w:val="24"/>
          <w:szCs w:val="24"/>
          <w:lang w:val="en-US" w:eastAsia="zh-CN"/>
        </w:rPr>
        <w:t>  </w:t>
      </w:r>
      <w:r>
        <w:rPr>
          <w:rFonts w:hint="default" w:ascii="Tahoma" w:hAnsi="Tahoma" w:eastAsia="Tahoma" w:cs="Tahoma"/>
          <w:i w:val="0"/>
          <w:iCs w:val="0"/>
          <w:caps w:val="0"/>
          <w:color w:val="877A6B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360" w:lineRule="auto"/>
        <w:ind w:left="0" w:leftChars="0" w:right="0" w:rightChars="0" w:firstLine="0" w:firstLineChars="0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  <w:t> 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六、附件（报价单格式）</w:t>
      </w:r>
    </w:p>
    <w:tbl>
      <w:tblPr>
        <w:tblStyle w:val="15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25"/>
        <w:gridCol w:w="1417"/>
        <w:gridCol w:w="824"/>
        <w:gridCol w:w="841"/>
        <w:gridCol w:w="1308"/>
        <w:gridCol w:w="1561"/>
        <w:gridCol w:w="969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82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hanging="13" w:hangingChars="6"/>
              <w:jc w:val="center"/>
              <w:textAlignment w:val="auto"/>
              <w:rPr>
                <w:rFonts w:hint="eastAsia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hanging="13" w:hangingChars="6"/>
              <w:jc w:val="center"/>
              <w:textAlignment w:val="auto"/>
              <w:rPr>
                <w:rFonts w:hint="default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b/>
                <w:bCs/>
                <w:color w:val="auto"/>
                <w:szCs w:val="21"/>
                <w:lang w:val="en-US" w:eastAsia="zh-CN"/>
              </w:rPr>
              <w:t>产品名称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5" w:leftChars="50" w:right="105" w:rightChars="50" w:firstLine="0" w:firstLineChars="0"/>
              <w:jc w:val="center"/>
              <w:textAlignment w:val="auto"/>
              <w:rPr>
                <w:rFonts w:hint="default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规格尺寸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hanging="13" w:hangingChars="6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数量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hanging="13" w:hangingChars="6"/>
              <w:jc w:val="center"/>
              <w:textAlignment w:val="auto"/>
              <w:rPr>
                <w:rFonts w:hint="eastAsia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3" w:leftChars="0" w:hanging="13" w:hangingChars="6"/>
              <w:jc w:val="center"/>
              <w:textAlignment w:val="auto"/>
              <w:rPr>
                <w:rFonts w:hint="default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主材品牌</w:t>
            </w:r>
          </w:p>
        </w:tc>
        <w:tc>
          <w:tcPr>
            <w:tcW w:w="96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3" w:leftChars="0" w:hanging="13" w:hangingChars="6"/>
              <w:jc w:val="center"/>
              <w:textAlignment w:val="auto"/>
              <w:rPr>
                <w:rFonts w:hint="eastAsia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hAnsi="宋体" w:cs="宋体"/>
                <w:b/>
                <w:bCs/>
                <w:color w:val="auto"/>
                <w:szCs w:val="21"/>
              </w:rPr>
              <w:t>单价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3" w:leftChars="0" w:hanging="13" w:hangingChars="6"/>
              <w:jc w:val="center"/>
              <w:textAlignment w:val="auto"/>
              <w:rPr>
                <w:rFonts w:hint="eastAsia" w:hAnsi="宋体" w:eastAsia="宋体" w:cs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lang w:val="en-US" w:eastAsia="zh-CN"/>
              </w:rPr>
              <w:t>元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3" w:leftChars="0" w:hanging="13" w:hangingChars="6"/>
              <w:jc w:val="center"/>
              <w:textAlignment w:val="auto"/>
              <w:rPr>
                <w:rFonts w:hint="eastAsia" w:hAnsi="宋体" w:eastAsia="宋体" w:cs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hAnsi="宋体" w:cs="宋体"/>
                <w:b/>
                <w:bCs/>
                <w:color w:val="auto"/>
                <w:szCs w:val="21"/>
              </w:rPr>
              <w:t>小计金额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lang w:val="en-US" w:eastAsia="zh-CN"/>
              </w:rPr>
              <w:t>元</w:t>
            </w:r>
            <w:r>
              <w:rPr>
                <w:rFonts w:hint="eastAsia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8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hAnsi="宋体" w:cs="宋体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储存柜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  <w:t>2580mm×2450mm×380mm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8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只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贴面防火板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hAnsi="宋体" w:cs="宋体"/>
                <w:bCs/>
                <w:color w:val="auto"/>
                <w:szCs w:val="21"/>
              </w:rPr>
            </w:pPr>
          </w:p>
        </w:tc>
        <w:tc>
          <w:tcPr>
            <w:tcW w:w="969" w:type="dxa"/>
            <w:vMerge w:val="restart"/>
            <w:noWrap w:val="0"/>
            <w:vAlign w:val="top"/>
          </w:tcPr>
          <w:p>
            <w:pPr>
              <w:pStyle w:val="9"/>
              <w:snapToGrid w:val="0"/>
              <w:spacing w:line="400" w:lineRule="exact"/>
              <w:ind w:left="13" w:hanging="12" w:hangingChars="6"/>
              <w:jc w:val="center"/>
              <w:rPr>
                <w:rFonts w:hint="eastAsia" w:hAnsi="宋体" w:cs="宋体"/>
                <w:bCs/>
                <w:color w:val="auto"/>
                <w:szCs w:val="21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基材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hAnsi="宋体" w:cs="宋体"/>
                <w:bCs/>
                <w:color w:val="auto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pStyle w:val="9"/>
              <w:snapToGrid w:val="0"/>
              <w:spacing w:line="400" w:lineRule="exact"/>
              <w:ind w:left="13" w:hanging="12" w:hangingChars="6"/>
              <w:jc w:val="center"/>
              <w:rPr>
                <w:rFonts w:hint="eastAsia" w:hAnsi="宋体" w:cs="宋体"/>
                <w:bCs/>
                <w:color w:val="auto"/>
                <w:szCs w:val="21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封边用材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hAnsi="宋体" w:cs="宋体"/>
                <w:bCs/>
                <w:color w:val="auto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pStyle w:val="9"/>
              <w:snapToGrid w:val="0"/>
              <w:spacing w:line="400" w:lineRule="exact"/>
              <w:ind w:left="13" w:hanging="12" w:hangingChars="6"/>
              <w:jc w:val="center"/>
              <w:rPr>
                <w:rFonts w:hint="eastAsia" w:hAnsi="宋体" w:cs="宋体"/>
                <w:bCs/>
                <w:color w:val="auto"/>
                <w:szCs w:val="21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8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hAns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五金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/>
              <w:jc w:val="center"/>
              <w:textAlignment w:val="auto"/>
              <w:rPr>
                <w:rFonts w:hint="eastAsia" w:hAnsi="宋体" w:cs="宋体"/>
                <w:bCs/>
                <w:color w:val="auto"/>
                <w:szCs w:val="21"/>
              </w:rPr>
            </w:pPr>
          </w:p>
        </w:tc>
        <w:tc>
          <w:tcPr>
            <w:tcW w:w="969" w:type="dxa"/>
            <w:vMerge w:val="continue"/>
            <w:noWrap w:val="0"/>
            <w:vAlign w:val="top"/>
          </w:tcPr>
          <w:p>
            <w:pPr>
              <w:pStyle w:val="9"/>
              <w:snapToGrid w:val="0"/>
              <w:spacing w:line="400" w:lineRule="exact"/>
              <w:ind w:left="13" w:hanging="12" w:hangingChars="6"/>
              <w:jc w:val="center"/>
              <w:rPr>
                <w:rFonts w:hint="eastAsia" w:hAnsi="宋体" w:cs="宋体"/>
                <w:bCs/>
                <w:color w:val="auto"/>
                <w:szCs w:val="21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hAnsi="宋体" w:cs="宋体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1027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1" w:firstLineChars="100"/>
              <w:jc w:val="both"/>
              <w:textAlignment w:val="auto"/>
              <w:rPr>
                <w:rFonts w:hint="default" w:hAnsi="宋体" w:eastAsia="宋体" w:cs="宋体"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b/>
                <w:bCs w:val="0"/>
                <w:color w:val="auto"/>
                <w:sz w:val="22"/>
                <w:szCs w:val="22"/>
                <w:lang w:val="en-US" w:eastAsia="zh-CN"/>
              </w:rPr>
              <w:t>注：我公司承诺所供家具完全符合调研公告中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技术参数和性能指标要求。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hanging="14" w:hangingChars="6"/>
        <w:textAlignment w:val="auto"/>
        <w:rPr>
          <w:rFonts w:hint="eastAsia" w:ascii="楷体" w:hAnsi="楷体" w:eastAsia="楷体" w:cs="仿宋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b/>
          <w:bCs/>
          <w:color w:val="auto"/>
          <w:sz w:val="18"/>
          <w:szCs w:val="18"/>
        </w:rPr>
      </w:pPr>
      <w:r>
        <w:rPr>
          <w:rFonts w:hint="eastAsia" w:ascii="宋体" w:hAnsi="宋体" w:cs="宋体"/>
          <w:b/>
          <w:bCs/>
          <w:color w:val="auto"/>
          <w:sz w:val="22"/>
          <w:szCs w:val="20"/>
          <w:lang w:val="en-US" w:eastAsia="zh-CN"/>
        </w:rPr>
        <w:t>供应商</w:t>
      </w:r>
      <w:r>
        <w:rPr>
          <w:rFonts w:ascii="宋体" w:hAnsi="宋体" w:cs="宋体"/>
          <w:b/>
          <w:bCs/>
          <w:color w:val="auto"/>
          <w:sz w:val="22"/>
          <w:szCs w:val="20"/>
        </w:rPr>
        <w:t>全称（盖公章）</w:t>
      </w:r>
      <w:r>
        <w:rPr>
          <w:rFonts w:hint="eastAsia" w:hAnsi="宋体" w:cs="仿宋"/>
          <w:b/>
          <w:bCs/>
          <w:color w:val="auto"/>
          <w:sz w:val="22"/>
          <w:szCs w:val="20"/>
          <w:lang w:val="en-US" w:eastAsia="zh-CN"/>
        </w:rPr>
        <w:t>：</w:t>
      </w:r>
      <w:r>
        <w:rPr>
          <w:rFonts w:ascii="宋体" w:hAnsi="宋体" w:cs="宋体"/>
          <w:b/>
          <w:bCs/>
          <w:color w:val="auto"/>
          <w:sz w:val="22"/>
          <w:szCs w:val="20"/>
        </w:rPr>
        <w:t>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4" w:hanging="13" w:hangingChars="6"/>
        <w:jc w:val="left"/>
        <w:textAlignment w:val="auto"/>
        <w:rPr>
          <w:b/>
          <w:bCs/>
          <w:color w:val="auto"/>
          <w:sz w:val="18"/>
          <w:szCs w:val="18"/>
        </w:rPr>
      </w:pPr>
      <w:r>
        <w:rPr>
          <w:rFonts w:hint="eastAsia" w:ascii="宋体" w:hAnsi="宋体"/>
          <w:b/>
          <w:bCs/>
          <w:color w:val="auto"/>
          <w:sz w:val="22"/>
          <w:szCs w:val="20"/>
        </w:rPr>
        <w:t>法定代表人或授权委托人</w:t>
      </w:r>
      <w:r>
        <w:rPr>
          <w:rFonts w:ascii="宋体" w:hAnsi="宋体" w:cs="宋体"/>
          <w:b/>
          <w:bCs/>
          <w:color w:val="auto"/>
          <w:sz w:val="22"/>
          <w:szCs w:val="20"/>
        </w:rPr>
        <w:t>（</w:t>
      </w:r>
      <w:r>
        <w:rPr>
          <w:rFonts w:hint="eastAsia" w:ascii="宋体" w:hAnsi="宋体" w:cs="宋体"/>
          <w:b/>
          <w:bCs/>
          <w:color w:val="auto"/>
          <w:sz w:val="22"/>
          <w:szCs w:val="20"/>
        </w:rPr>
        <w:t>签字</w:t>
      </w:r>
      <w:r>
        <w:rPr>
          <w:rFonts w:ascii="宋体" w:hAnsi="宋体" w:cs="宋体"/>
          <w:b/>
          <w:bCs/>
          <w:color w:val="auto"/>
          <w:sz w:val="22"/>
          <w:szCs w:val="20"/>
        </w:rPr>
        <w:t>）</w:t>
      </w:r>
      <w:r>
        <w:rPr>
          <w:rFonts w:hint="eastAsia" w:hAnsi="宋体" w:cs="仿宋"/>
          <w:b/>
          <w:bCs/>
          <w:color w:val="auto"/>
          <w:sz w:val="22"/>
          <w:szCs w:val="20"/>
          <w:lang w:val="en-US" w:eastAsia="zh-CN"/>
        </w:rPr>
        <w:t>：</w:t>
      </w:r>
      <w:r>
        <w:rPr>
          <w:rFonts w:ascii="宋体" w:hAnsi="宋体" w:cs="宋体"/>
          <w:b/>
          <w:bCs/>
          <w:color w:val="auto"/>
          <w:sz w:val="22"/>
          <w:szCs w:val="20"/>
        </w:rPr>
        <w:t>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hanging="13" w:hangingChars="6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eastAsia" w:ascii="宋体" w:hAnsi="宋体" w:cs="宋体"/>
          <w:b/>
          <w:bCs/>
          <w:color w:val="auto"/>
          <w:sz w:val="22"/>
          <w:szCs w:val="20"/>
          <w:lang w:val="en-US" w:eastAsia="zh-CN"/>
        </w:rPr>
        <w:t>日期：2024</w:t>
      </w:r>
      <w:r>
        <w:rPr>
          <w:rFonts w:ascii="宋体" w:hAnsi="宋体" w:cs="宋体"/>
          <w:b/>
          <w:bCs/>
          <w:color w:val="auto"/>
          <w:sz w:val="22"/>
          <w:szCs w:val="20"/>
        </w:rPr>
        <w:t>_年_</w:t>
      </w:r>
      <w:r>
        <w:rPr>
          <w:rFonts w:hint="eastAsia" w:ascii="宋体" w:hAnsi="宋体" w:cs="宋体"/>
          <w:b/>
          <w:bCs/>
          <w:color w:val="auto"/>
          <w:sz w:val="22"/>
          <w:szCs w:val="20"/>
          <w:lang w:val="en-US" w:eastAsia="zh-CN"/>
        </w:rPr>
        <w:t>3</w:t>
      </w:r>
      <w:r>
        <w:rPr>
          <w:rFonts w:ascii="宋体" w:hAnsi="宋体" w:cs="宋体"/>
          <w:b/>
          <w:bCs/>
          <w:color w:val="auto"/>
          <w:sz w:val="22"/>
          <w:szCs w:val="20"/>
        </w:rPr>
        <w:t>_月_</w:t>
      </w:r>
      <w:r>
        <w:rPr>
          <w:rFonts w:hint="eastAsia" w:ascii="宋体" w:hAnsi="宋体" w:cs="宋体"/>
          <w:b/>
          <w:bCs/>
          <w:color w:val="auto"/>
          <w:sz w:val="22"/>
          <w:szCs w:val="20"/>
          <w:lang w:val="en-US" w:eastAsia="zh-CN"/>
        </w:rPr>
        <w:t>26</w:t>
      </w:r>
      <w:r>
        <w:rPr>
          <w:rFonts w:ascii="宋体" w:hAnsi="宋体" w:cs="宋体"/>
          <w:b/>
          <w:bCs/>
          <w:color w:val="auto"/>
          <w:sz w:val="22"/>
          <w:szCs w:val="20"/>
        </w:rPr>
        <w:t>_日</w:t>
      </w:r>
      <w:bookmarkStart w:id="8" w:name="_GoBack"/>
      <w:bookmarkEnd w:id="8"/>
    </w:p>
    <w:p>
      <w:pPr>
        <w:pStyle w:val="8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020" w:right="1066" w:bottom="69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uturaA Bk BT">
    <w:altName w:val="Arial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1B77752"/>
    <w:rsid w:val="00057306"/>
    <w:rsid w:val="00057393"/>
    <w:rsid w:val="000611BA"/>
    <w:rsid w:val="001F71EE"/>
    <w:rsid w:val="00243077"/>
    <w:rsid w:val="00300BBF"/>
    <w:rsid w:val="0051000F"/>
    <w:rsid w:val="005F3EF4"/>
    <w:rsid w:val="00644438"/>
    <w:rsid w:val="006F30C4"/>
    <w:rsid w:val="00732911"/>
    <w:rsid w:val="007F5564"/>
    <w:rsid w:val="00826771"/>
    <w:rsid w:val="0095114C"/>
    <w:rsid w:val="009A6B08"/>
    <w:rsid w:val="00AC46E6"/>
    <w:rsid w:val="00C87DE1"/>
    <w:rsid w:val="00D75F45"/>
    <w:rsid w:val="00F77EF9"/>
    <w:rsid w:val="067415AD"/>
    <w:rsid w:val="06805DF1"/>
    <w:rsid w:val="06891CB6"/>
    <w:rsid w:val="06AE7A31"/>
    <w:rsid w:val="072474C4"/>
    <w:rsid w:val="0B1B147D"/>
    <w:rsid w:val="0BEB51B8"/>
    <w:rsid w:val="0D7C6A10"/>
    <w:rsid w:val="10E269B0"/>
    <w:rsid w:val="113766E4"/>
    <w:rsid w:val="11B77752"/>
    <w:rsid w:val="12451DED"/>
    <w:rsid w:val="135979C4"/>
    <w:rsid w:val="165F2693"/>
    <w:rsid w:val="18377215"/>
    <w:rsid w:val="187C3D68"/>
    <w:rsid w:val="192969F5"/>
    <w:rsid w:val="1CA62E24"/>
    <w:rsid w:val="2091237A"/>
    <w:rsid w:val="232B2D2A"/>
    <w:rsid w:val="236265A9"/>
    <w:rsid w:val="236B559C"/>
    <w:rsid w:val="240B69BD"/>
    <w:rsid w:val="24723E74"/>
    <w:rsid w:val="260E26B3"/>
    <w:rsid w:val="278C66CA"/>
    <w:rsid w:val="2C16713E"/>
    <w:rsid w:val="2C6D3807"/>
    <w:rsid w:val="2D891CDE"/>
    <w:rsid w:val="2F4D38A9"/>
    <w:rsid w:val="30DE5C51"/>
    <w:rsid w:val="35175E1D"/>
    <w:rsid w:val="37273237"/>
    <w:rsid w:val="38736F92"/>
    <w:rsid w:val="3BEE647B"/>
    <w:rsid w:val="3EA66A2B"/>
    <w:rsid w:val="40B67A72"/>
    <w:rsid w:val="41520337"/>
    <w:rsid w:val="48FD239B"/>
    <w:rsid w:val="4913081B"/>
    <w:rsid w:val="4A463EF1"/>
    <w:rsid w:val="4C0D0258"/>
    <w:rsid w:val="4CE94821"/>
    <w:rsid w:val="4D0E072B"/>
    <w:rsid w:val="4F993B58"/>
    <w:rsid w:val="51BE029C"/>
    <w:rsid w:val="5A872EA5"/>
    <w:rsid w:val="5AC46C61"/>
    <w:rsid w:val="5B4C5BA9"/>
    <w:rsid w:val="5BE06E92"/>
    <w:rsid w:val="5FB40BA8"/>
    <w:rsid w:val="61410E3A"/>
    <w:rsid w:val="638D4688"/>
    <w:rsid w:val="6A0309AC"/>
    <w:rsid w:val="6A326693"/>
    <w:rsid w:val="6AA66CDF"/>
    <w:rsid w:val="70877D29"/>
    <w:rsid w:val="71AF48D1"/>
    <w:rsid w:val="74D56F07"/>
    <w:rsid w:val="766A4B0D"/>
    <w:rsid w:val="77A158E3"/>
    <w:rsid w:val="79EC7D78"/>
    <w:rsid w:val="7C361215"/>
    <w:rsid w:val="7C5F6B6F"/>
    <w:rsid w:val="7C653E3A"/>
    <w:rsid w:val="7EF829C0"/>
    <w:rsid w:val="7F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autoSpaceDE w:val="0"/>
      <w:autoSpaceDN w:val="0"/>
      <w:adjustRightInd w:val="0"/>
      <w:spacing w:after="120" w:line="240" w:lineRule="auto"/>
      <w:ind w:left="420" w:leftChars="200" w:firstLine="420" w:firstLineChars="200"/>
      <w:jc w:val="left"/>
      <w:textAlignment w:val="baseline"/>
    </w:pPr>
    <w:rPr>
      <w:sz w:val="28"/>
    </w:rPr>
  </w:style>
  <w:style w:type="paragraph" w:styleId="3">
    <w:name w:val="Body Text Indent"/>
    <w:basedOn w:val="1"/>
    <w:next w:val="2"/>
    <w:qFormat/>
    <w:uiPriority w:val="0"/>
    <w:pPr>
      <w:spacing w:line="400" w:lineRule="atLeast"/>
      <w:ind w:left="210" w:firstLine="210"/>
    </w:pPr>
    <w:rPr>
      <w:rFonts w:ascii="宋体" w:hAnsi="宋体"/>
      <w:szCs w:val="20"/>
    </w:rPr>
  </w:style>
  <w:style w:type="paragraph" w:customStyle="1" w:styleId="4">
    <w:name w:val="xl53"/>
    <w:basedOn w:val="1"/>
    <w:next w:val="1"/>
    <w:qFormat/>
    <w:uiPriority w:val="0"/>
    <w:pPr>
      <w:spacing w:before="280" w:after="280" w:line="100" w:lineRule="exact"/>
      <w:jc w:val="center"/>
    </w:pPr>
    <w:rPr>
      <w:b/>
      <w:sz w:val="20"/>
    </w:rPr>
  </w:style>
  <w:style w:type="paragraph" w:styleId="7">
    <w:name w:val="Normal Indent"/>
    <w:basedOn w:val="1"/>
    <w:next w:val="3"/>
    <w:qFormat/>
    <w:uiPriority w:val="0"/>
    <w:pPr>
      <w:ind w:firstLine="420"/>
    </w:pPr>
    <w:rPr>
      <w:rFonts w:ascii="宋体" w:hAnsi="Courier New"/>
      <w:szCs w:val="20"/>
    </w:rPr>
  </w:style>
  <w:style w:type="paragraph" w:styleId="8">
    <w:name w:val="Body Text"/>
    <w:basedOn w:val="1"/>
    <w:unhideWhenUsed/>
    <w:qFormat/>
    <w:uiPriority w:val="99"/>
    <w:pPr>
      <w:spacing w:line="360" w:lineRule="exact"/>
    </w:pPr>
    <w:rPr>
      <w:sz w:val="24"/>
    </w:rPr>
  </w:style>
  <w:style w:type="paragraph" w:styleId="9">
    <w:name w:val="Plain Text"/>
    <w:basedOn w:val="1"/>
    <w:next w:val="10"/>
    <w:qFormat/>
    <w:uiPriority w:val="0"/>
    <w:rPr>
      <w:rFonts w:ascii="宋体" w:hAnsi="Courier New" w:eastAsiaTheme="minorEastAsia" w:cstheme="minorBidi"/>
      <w:szCs w:val="22"/>
    </w:rPr>
  </w:style>
  <w:style w:type="paragraph" w:styleId="10">
    <w:name w:val="toc 2"/>
    <w:basedOn w:val="1"/>
    <w:next w:val="1"/>
    <w:qFormat/>
    <w:uiPriority w:val="0"/>
    <w:pPr>
      <w:tabs>
        <w:tab w:val="right" w:leader="dot" w:pos="9170"/>
      </w:tabs>
      <w:ind w:left="210" w:firstLine="150"/>
      <w:jc w:val="left"/>
    </w:pPr>
    <w:rPr>
      <w:smallCaps/>
      <w:sz w:val="20"/>
      <w:szCs w:val="20"/>
    </w:rPr>
  </w:style>
  <w:style w:type="paragraph" w:styleId="11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2"/>
    <w:basedOn w:val="1"/>
    <w:unhideWhenUsed/>
    <w:qFormat/>
    <w:uiPriority w:val="99"/>
    <w:pPr>
      <w:spacing w:after="120" w:line="480" w:lineRule="auto"/>
    </w:pPr>
  </w:style>
  <w:style w:type="paragraph" w:styleId="1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8">
    <w:name w:val="TOC 标题4"/>
    <w:next w:val="1"/>
    <w:qFormat/>
    <w:uiPriority w:val="0"/>
    <w:pPr>
      <w:wordWrap w:val="0"/>
    </w:pPr>
    <w:rPr>
      <w:rFonts w:ascii="宋体" w:hAnsi="宋体" w:eastAsia="宋体" w:cs="宋体"/>
      <w:sz w:val="32"/>
      <w:lang w:val="en-US" w:eastAsia="zh-CN" w:bidi="ar-SA"/>
    </w:rPr>
  </w:style>
  <w:style w:type="paragraph" w:customStyle="1" w:styleId="19">
    <w:name w:val="BodyText"/>
    <w:basedOn w:val="1"/>
    <w:qFormat/>
    <w:uiPriority w:val="0"/>
    <w:pPr>
      <w:spacing w:after="120"/>
    </w:pPr>
    <w:rPr>
      <w:rFonts w:ascii="FuturaA Bk BT" w:hAnsi="FuturaA Bk BT" w:eastAsia="仿宋_GB2312"/>
      <w:sz w:val="20"/>
    </w:rPr>
  </w:style>
  <w:style w:type="character" w:customStyle="1" w:styleId="20">
    <w:name w:val="页眉 Char"/>
    <w:basedOn w:val="17"/>
    <w:link w:val="1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页脚 Char"/>
    <w:basedOn w:val="17"/>
    <w:link w:val="11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font01"/>
    <w:basedOn w:val="1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3">
    <w:name w:val="font31"/>
    <w:basedOn w:val="1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4">
    <w:name w:val="[Normal]"/>
    <w:qFormat/>
    <w:uiPriority w:val="0"/>
    <w:rPr>
      <w:rFonts w:ascii="宋体" w:hAnsi="宋体" w:eastAsia="宋体" w:cs="Times New Roman"/>
      <w:sz w:val="24"/>
      <w:szCs w:val="22"/>
      <w:lang w:val="zh-CN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font11"/>
    <w:basedOn w:val="1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7">
    <w:name w:val="模板普通正文"/>
    <w:basedOn w:val="3"/>
    <w:qFormat/>
    <w:uiPriority w:val="0"/>
    <w:pPr>
      <w:spacing w:beforeLines="50" w:after="10"/>
      <w:ind w:firstLine="490" w:firstLineChars="175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3759</Words>
  <Characters>5348</Characters>
  <Lines>3</Lines>
  <Paragraphs>1</Paragraphs>
  <TotalTime>6</TotalTime>
  <ScaleCrop>false</ScaleCrop>
  <LinksUpToDate>false</LinksUpToDate>
  <CharactersWithSpaces>5656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2020-08-07T01:53:00Z</dcterms:created>
  <dc:creator>舞动的叶</dc:creator>
  <cp:lastModifiedBy>Administrator</cp:lastModifiedBy>
  <dcterms:modified xsi:type="dcterms:W3CDTF">2024-03-26T00:59:46Z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FAB0F892BF9E4B8C9CED9EE7B69CA75E_13</vt:lpwstr>
  </property>
</Properties>
</file>